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74F" w:rsidRDefault="00E3074F" w:rsidP="00E3074F">
      <w:pPr>
        <w:pStyle w:val="Title"/>
      </w:pPr>
      <w:bookmarkStart w:id="0" w:name="_Hlk507764674"/>
      <w:smartTag w:uri="urn:schemas-microsoft-com:office:smarttags" w:element="place">
        <w:smartTag w:uri="urn:schemas-microsoft-com:office:smarttags" w:element="PlaceType">
          <w:r>
            <w:t>COMMONWEALTH</w:t>
          </w:r>
        </w:smartTag>
        <w:r>
          <w:t xml:space="preserve"> OF </w:t>
        </w:r>
        <w:smartTag w:uri="urn:schemas-microsoft-com:office:smarttags" w:element="PlaceName">
          <w:r>
            <w:t>KENTUCKY</w:t>
          </w:r>
        </w:smartTag>
      </w:smartTag>
    </w:p>
    <w:p w:rsidR="00E3074F" w:rsidRDefault="004252FC" w:rsidP="00E3074F">
      <w:pPr>
        <w:jc w:val="center"/>
        <w:rPr>
          <w:b/>
          <w:bCs/>
        </w:rPr>
      </w:pPr>
      <w:r>
        <w:rPr>
          <w:b/>
          <w:bCs/>
        </w:rPr>
        <w:t xml:space="preserve">(COUNTY) </w:t>
      </w:r>
      <w:r w:rsidR="00E3074F">
        <w:rPr>
          <w:b/>
          <w:bCs/>
        </w:rPr>
        <w:t>CIRCUIT COURT</w:t>
      </w:r>
    </w:p>
    <w:p w:rsidR="00E3074F" w:rsidRDefault="00E76124" w:rsidP="00E3074F">
      <w:pPr>
        <w:jc w:val="center"/>
        <w:rPr>
          <w:b/>
          <w:bCs/>
        </w:rPr>
      </w:pPr>
      <w:r>
        <w:rPr>
          <w:b/>
          <w:bCs/>
        </w:rPr>
        <w:t>FIRST</w:t>
      </w:r>
      <w:r w:rsidR="00E3074F">
        <w:rPr>
          <w:b/>
          <w:bCs/>
        </w:rPr>
        <w:t xml:space="preserve"> DIVISION</w:t>
      </w:r>
    </w:p>
    <w:p w:rsidR="00E3074F" w:rsidRDefault="00E3074F" w:rsidP="00E3074F">
      <w:pPr>
        <w:jc w:val="center"/>
        <w:rPr>
          <w:b/>
          <w:bCs/>
        </w:rPr>
      </w:pPr>
      <w:r>
        <w:rPr>
          <w:b/>
          <w:bCs/>
        </w:rPr>
        <w:t xml:space="preserve">CASE NO: </w:t>
      </w:r>
      <w:r w:rsidR="004252FC">
        <w:rPr>
          <w:b/>
          <w:bCs/>
        </w:rPr>
        <w:t>XX</w:t>
      </w:r>
      <w:r w:rsidR="00E76124">
        <w:rPr>
          <w:b/>
          <w:noProof/>
        </w:rPr>
        <w:t>-CR-</w:t>
      </w:r>
      <w:r w:rsidR="004252FC">
        <w:rPr>
          <w:b/>
          <w:noProof/>
        </w:rPr>
        <w:t>XXXX</w:t>
      </w:r>
    </w:p>
    <w:p w:rsidR="00E3074F" w:rsidRDefault="00E3074F" w:rsidP="005316CA">
      <w:pPr>
        <w:jc w:val="center"/>
        <w:rPr>
          <w:b/>
          <w:bCs/>
        </w:rPr>
      </w:pPr>
      <w:r>
        <w:rPr>
          <w:b/>
          <w:bCs/>
        </w:rPr>
        <w:t xml:space="preserve">                      </w:t>
      </w:r>
    </w:p>
    <w:p w:rsidR="00E3074F" w:rsidRDefault="00E3074F" w:rsidP="00E3074F">
      <w:pPr>
        <w:rPr>
          <w:b/>
          <w:bCs/>
        </w:rPr>
      </w:pPr>
      <w:smartTag w:uri="urn:schemas-microsoft-com:office:smarttags" w:element="place">
        <w:smartTag w:uri="urn:schemas-microsoft-com:office:smarttags" w:element="PlaceType">
          <w:r>
            <w:rPr>
              <w:b/>
              <w:bCs/>
            </w:rPr>
            <w:t>COMMONWEALTH</w:t>
          </w:r>
        </w:smartTag>
        <w:r>
          <w:rPr>
            <w:b/>
            <w:bCs/>
          </w:rPr>
          <w:t xml:space="preserve"> OF </w:t>
        </w:r>
        <w:smartTag w:uri="urn:schemas-microsoft-com:office:smarttags" w:element="PlaceName">
          <w:r>
            <w:rPr>
              <w:b/>
              <w:bCs/>
            </w:rPr>
            <w:t>KENTUCKY</w:t>
          </w:r>
        </w:smartTag>
      </w:smartTag>
      <w:r>
        <w:rPr>
          <w:b/>
          <w:bCs/>
        </w:rPr>
        <w:tab/>
      </w:r>
      <w:r>
        <w:rPr>
          <w:b/>
          <w:bCs/>
        </w:rPr>
        <w:tab/>
      </w:r>
      <w:r>
        <w:rPr>
          <w:b/>
          <w:bCs/>
        </w:rPr>
        <w:tab/>
      </w:r>
      <w:r>
        <w:rPr>
          <w:b/>
          <w:bCs/>
        </w:rPr>
        <w:tab/>
      </w:r>
      <w:r>
        <w:rPr>
          <w:b/>
          <w:bCs/>
        </w:rPr>
        <w:tab/>
        <w:t xml:space="preserve">  PLAINTIFF</w:t>
      </w:r>
    </w:p>
    <w:p w:rsidR="00E3074F" w:rsidRDefault="00E3074F" w:rsidP="00E3074F">
      <w:pPr>
        <w:rPr>
          <w:b/>
          <w:bCs/>
        </w:rPr>
      </w:pPr>
    </w:p>
    <w:p w:rsidR="00E3074F" w:rsidRDefault="00E3074F" w:rsidP="00E3074F">
      <w:pPr>
        <w:rPr>
          <w:b/>
          <w:bCs/>
        </w:rPr>
      </w:pPr>
      <w:r>
        <w:rPr>
          <w:b/>
          <w:bCs/>
        </w:rPr>
        <w:t>-VS-</w:t>
      </w:r>
    </w:p>
    <w:p w:rsidR="00E3074F" w:rsidRDefault="00E3074F" w:rsidP="00E3074F">
      <w:pPr>
        <w:rPr>
          <w:b/>
          <w:bCs/>
        </w:rPr>
      </w:pPr>
    </w:p>
    <w:p w:rsidR="00E3074F" w:rsidRPr="00842CCA" w:rsidRDefault="004252FC" w:rsidP="00E3074F">
      <w:pPr>
        <w:rPr>
          <w:b/>
          <w:bCs/>
        </w:rPr>
      </w:pPr>
      <w:r>
        <w:rPr>
          <w:b/>
          <w:bCs/>
        </w:rPr>
        <w:t>DEFENDANT</w:t>
      </w:r>
      <w:r>
        <w:rPr>
          <w:b/>
          <w:bCs/>
        </w:rPr>
        <w:tab/>
      </w:r>
      <w:r w:rsidR="00E3074F">
        <w:rPr>
          <w:b/>
          <w:bCs/>
        </w:rPr>
        <w:tab/>
      </w:r>
      <w:r w:rsidR="00E3074F">
        <w:rPr>
          <w:b/>
          <w:bCs/>
        </w:rPr>
        <w:tab/>
      </w:r>
      <w:r w:rsidR="00E3074F">
        <w:rPr>
          <w:b/>
          <w:bCs/>
        </w:rPr>
        <w:tab/>
      </w:r>
      <w:r w:rsidR="00E3074F">
        <w:rPr>
          <w:b/>
          <w:bCs/>
        </w:rPr>
        <w:tab/>
        <w:t xml:space="preserve">   </w:t>
      </w:r>
      <w:r w:rsidR="00E3074F">
        <w:rPr>
          <w:b/>
          <w:bCs/>
        </w:rPr>
        <w:tab/>
        <w:t xml:space="preserve">  </w:t>
      </w:r>
      <w:r w:rsidR="00E3074F">
        <w:rPr>
          <w:b/>
          <w:bCs/>
        </w:rPr>
        <w:tab/>
      </w:r>
      <w:r w:rsidR="00E3074F">
        <w:rPr>
          <w:b/>
          <w:bCs/>
        </w:rPr>
        <w:tab/>
        <w:t>DEFENDANT</w:t>
      </w:r>
    </w:p>
    <w:p w:rsidR="00E3074F" w:rsidRDefault="00E3074F" w:rsidP="00E3074F"/>
    <w:p w:rsidR="00E3074F" w:rsidRDefault="00E3074F" w:rsidP="00E3074F">
      <w:pPr>
        <w:jc w:val="center"/>
        <w:rPr>
          <w:b/>
          <w:bCs/>
          <w:u w:val="single"/>
        </w:rPr>
      </w:pPr>
      <w:r>
        <w:rPr>
          <w:b/>
          <w:bCs/>
          <w:u w:val="single"/>
        </w:rPr>
        <w:t xml:space="preserve">COMMONWEALTH’S </w:t>
      </w:r>
      <w:r w:rsidR="00B01A7A">
        <w:rPr>
          <w:b/>
          <w:bCs/>
          <w:u w:val="single"/>
        </w:rPr>
        <w:t>NOTICE PURSUANT TO KRE 404(c</w:t>
      </w:r>
      <w:r>
        <w:rPr>
          <w:b/>
          <w:bCs/>
          <w:u w:val="single"/>
        </w:rPr>
        <w:t>)</w:t>
      </w:r>
    </w:p>
    <w:p w:rsidR="00E3074F" w:rsidRDefault="00E3074F" w:rsidP="00E3074F"/>
    <w:p w:rsidR="00B01A7A" w:rsidRPr="001917F6" w:rsidRDefault="00E3074F" w:rsidP="00B01A7A">
      <w:pPr>
        <w:spacing w:line="480" w:lineRule="auto"/>
        <w:jc w:val="both"/>
      </w:pPr>
      <w:r>
        <w:tab/>
        <w:t xml:space="preserve">Comes now the Plaintiff, Commonwealth of Kentucky, by and through its Assistant Commonwealth Attorney, </w:t>
      </w:r>
      <w:r w:rsidR="004252FC">
        <w:t>PROSECUTOR</w:t>
      </w:r>
      <w:r w:rsidR="00B01A7A">
        <w:t>, and provides notice to the Defendant that the Commonwealth intends to offer in its case-in-chief evidence</w:t>
      </w:r>
      <w:r w:rsidR="00E76124">
        <w:t xml:space="preserve"> from the entire download of the Defendant’s cell phone. While the Commonwealth maintains that such evidence is not</w:t>
      </w:r>
      <w:r w:rsidR="00B01A7A">
        <w:t xml:space="preserve"> of other wrongs or acts committed by the Defendant</w:t>
      </w:r>
      <w:r w:rsidR="00E76124">
        <w:t>, but rather of the same course of conduct that supports the charges, in an abundance of caution the Commonwealth provides notice of its intent to use such evidence to</w:t>
      </w:r>
      <w:r w:rsidR="00B01A7A">
        <w:t xml:space="preserve"> prove intent,</w:t>
      </w:r>
      <w:r w:rsidR="002B7406">
        <w:t xml:space="preserve"> plan,</w:t>
      </w:r>
      <w:r w:rsidR="00B01A7A">
        <w:t xml:space="preserve"> knowledge, </w:t>
      </w:r>
      <w:r w:rsidR="002B7406">
        <w:t>and/or</w:t>
      </w:r>
      <w:r w:rsidR="00B01A7A">
        <w:t xml:space="preserve"> absence of mistake or accident, and </w:t>
      </w:r>
      <w:r w:rsidR="00E76124">
        <w:t xml:space="preserve">because such evidence, if considered to be other acts by the Defendant, would be </w:t>
      </w:r>
      <w:r w:rsidR="00B01A7A">
        <w:t xml:space="preserve">inextricably intertwined with evidence essential to the case. KRE 404 (b). </w:t>
      </w:r>
    </w:p>
    <w:p w:rsidR="00B01A7A" w:rsidRDefault="00B01A7A" w:rsidP="00B01A7A">
      <w:pPr>
        <w:spacing w:line="480" w:lineRule="auto"/>
        <w:jc w:val="both"/>
      </w:pPr>
      <w:r>
        <w:tab/>
        <w:t>KRE 404(b) allows evidence of other wrongs or acts committed by the Defendant to be introduced if they are being offered for a purpose other than to show character of the person to prove conformity therein.  KRE 404(b)(1) allows evidence that is offered to prove motive, opportunity, intent, preparation, plan</w:t>
      </w:r>
      <w:r w:rsidR="00717F13">
        <w:t>,</w:t>
      </w:r>
      <w:r>
        <w:t xml:space="preserve"> knowledge, identity, or absence of mistake. KRE 404(b)(2) allows evidence of acts that are so inextricably intertwined with the charged crimes that separation could not be accomplished without serious adverse effect. </w:t>
      </w:r>
    </w:p>
    <w:p w:rsidR="00E3074F" w:rsidRDefault="00B01A7A" w:rsidP="00B01A7A">
      <w:pPr>
        <w:spacing w:line="480" w:lineRule="auto"/>
        <w:jc w:val="both"/>
      </w:pPr>
      <w:r>
        <w:lastRenderedPageBreak/>
        <w:tab/>
        <w:t xml:space="preserve">The Commonwealth intends to introduce evidence </w:t>
      </w:r>
      <w:r w:rsidR="00E76124">
        <w:t xml:space="preserve">from the entirety of the download of the Defendant’s cell phone, including but not limited to the Defendant’s internet searches and web history. </w:t>
      </w:r>
      <w:r>
        <w:t xml:space="preserve"> </w:t>
      </w:r>
    </w:p>
    <w:p w:rsidR="00717F13" w:rsidRDefault="00F060C7" w:rsidP="00717F13">
      <w:pPr>
        <w:pStyle w:val="BodyText"/>
        <w:ind w:firstLine="720"/>
      </w:pPr>
      <w:r>
        <w:t xml:space="preserve">The charges in this case </w:t>
      </w:r>
      <w:r w:rsidR="00E76124">
        <w:t>are based on websites located in the web history of the Defendant’s cell phone. As the Court is aware, this investigation began after the Defendant’s girlfriend</w:t>
      </w:r>
      <w:r w:rsidR="00717F13">
        <w:t>, Ms. Jamie Brogan-Routt,</w:t>
      </w:r>
      <w:r w:rsidR="00E76124">
        <w:t xml:space="preserve"> reported </w:t>
      </w:r>
      <w:r w:rsidR="00680170">
        <w:t>to police that</w:t>
      </w:r>
      <w:r w:rsidR="00717F13">
        <w:t xml:space="preserve">, while going through the Defendant’s cell phone, she located multiple internet searches for child pornography. The Covington Police then seized the Defendant’s cell phone and, pursuant to a search warrant, conducted a forensic examination of the phone. The forensic examination of the Defendant’s phone located months of the Defendant’s internet searches and web history. Covington Police were able to confirm that several of the websites visited by the Defendant contained child pornography, and the indictment in this matter is based on those websites that were still operable at the time of the police investigation. </w:t>
      </w:r>
    </w:p>
    <w:p w:rsidR="00717F13" w:rsidRPr="00717F13" w:rsidRDefault="00717F13" w:rsidP="00717F13">
      <w:pPr>
        <w:pStyle w:val="BodyText"/>
        <w:ind w:firstLine="720"/>
      </w:pPr>
      <w:r>
        <w:t xml:space="preserve">Again, the Commonwealth maintains that the details of the Defendant’s internet searches and web history would not be evidence of </w:t>
      </w:r>
      <w:r>
        <w:rPr>
          <w:i/>
        </w:rPr>
        <w:t>other</w:t>
      </w:r>
      <w:r>
        <w:t xml:space="preserve"> acts by the Defendant, but rather are part and parcel to the charges in this matter. However, even if the Court were to find that such evidence constitutes other acts by the Defendant, the Defendant’s internet searches and web history would still be admissible because it is inexplicably intertwined with the charged crimes and because such evidence proves intent, plan, knowledge, and/or absence of mistake of accident by the Defendant in viewing the websites for which he is charged. </w:t>
      </w:r>
    </w:p>
    <w:p w:rsidR="00FD4EE8" w:rsidRDefault="00FD4EE8" w:rsidP="00FD4EE8">
      <w:pPr>
        <w:pStyle w:val="BodyText"/>
        <w:ind w:firstLine="720"/>
      </w:pPr>
      <w:r>
        <w:t>All of this information has been made available to defense counsel through the discove</w:t>
      </w:r>
      <w:r w:rsidR="00717F13">
        <w:t xml:space="preserve">ry </w:t>
      </w:r>
      <w:r>
        <w:t>process</w:t>
      </w:r>
      <w:r w:rsidR="00717F13">
        <w:t xml:space="preserve"> on or about January 11, 2019.</w:t>
      </w:r>
    </w:p>
    <w:p w:rsidR="00FD4EE8" w:rsidRDefault="00FD4EE8" w:rsidP="00FD4EE8">
      <w:pPr>
        <w:pStyle w:val="BodyText"/>
        <w:ind w:firstLine="720"/>
      </w:pPr>
      <w:r>
        <w:t xml:space="preserve">Evidence of a Defendant’s possession of child pornography is properly admitted under KRE 404(b) when offered to prove the defendant’s plan, intent, or knowledge of the sexual offense for which he is charged. In </w:t>
      </w:r>
      <w:r>
        <w:rPr>
          <w:i/>
        </w:rPr>
        <w:t>Williams v. Commonwealth</w:t>
      </w:r>
      <w:r>
        <w:t xml:space="preserve">, 178 S.W.3d 491, 496-497 (Ky. 2005), the Supreme Court of Kentucky held that evidence of the defendant’s possession of child pornography was properly admitted under KRE 404(b) to show the defendant’s intent or knowledge in promoting a sexual performance by a minor. </w:t>
      </w:r>
      <w:r w:rsidR="00BB5DAE">
        <w:t xml:space="preserve">In </w:t>
      </w:r>
      <w:r w:rsidR="00BB5DAE">
        <w:rPr>
          <w:i/>
        </w:rPr>
        <w:t>Williams</w:t>
      </w:r>
      <w:r w:rsidR="00BB5DAE">
        <w:t xml:space="preserve">, the Defendant was convicted of four (4) counts of use of a minor in a sexual performance based on four photographs of his minor stepdaughter naked or in varying stages of undress. </w:t>
      </w:r>
      <w:r w:rsidR="00BB5DAE">
        <w:rPr>
          <w:i/>
        </w:rPr>
        <w:t>Id</w:t>
      </w:r>
      <w:r w:rsidR="00BB5DAE">
        <w:t xml:space="preserve">. at 493. At trial, the investigating detective testified regarding the other adult and child pornography found on the defendant’s computer. </w:t>
      </w:r>
      <w:r w:rsidR="00BB5DAE">
        <w:rPr>
          <w:i/>
        </w:rPr>
        <w:t>Id</w:t>
      </w:r>
      <w:r w:rsidR="00BB5DAE">
        <w:t xml:space="preserve">. at 497. </w:t>
      </w:r>
      <w:r>
        <w:t xml:space="preserve">The Court held that, “Considering the nature of the offense and its characteristics, the introduction of this evidence was admissible to show intent or knowledge under KRE 404(b).” </w:t>
      </w:r>
      <w:r>
        <w:rPr>
          <w:i/>
        </w:rPr>
        <w:t>Id</w:t>
      </w:r>
      <w:r>
        <w:t>. at 497.</w:t>
      </w:r>
      <w:r w:rsidR="00BB5DAE">
        <w:t xml:space="preserve"> </w:t>
      </w:r>
    </w:p>
    <w:p w:rsidR="00FD4EE8" w:rsidRPr="00A41FDA" w:rsidRDefault="00FD4EE8" w:rsidP="00FD4EE8">
      <w:pPr>
        <w:spacing w:line="480" w:lineRule="auto"/>
        <w:ind w:firstLine="720"/>
        <w:jc w:val="both"/>
      </w:pPr>
      <w:r>
        <w:t xml:space="preserve">Further, </w:t>
      </w:r>
      <w:r>
        <w:rPr>
          <w:i/>
        </w:rPr>
        <w:t>South v. Commonwealth</w:t>
      </w:r>
      <w:r>
        <w:t xml:space="preserve"> offers persuasive authority on the admissibility of the type of evidence the Commonwealth intends to introduce in this case. </w:t>
      </w:r>
      <w:r>
        <w:rPr>
          <w:i/>
        </w:rPr>
        <w:t>Smith v. Commonwealth</w:t>
      </w:r>
      <w:r>
        <w:t xml:space="preserve">, 2007 WL 3226191 (Ky. 2007). In </w:t>
      </w:r>
      <w:r>
        <w:rPr>
          <w:i/>
        </w:rPr>
        <w:t>South v. Commonwealth</w:t>
      </w:r>
      <w:r>
        <w:t xml:space="preserve">, the Court determined that evidence of computer searches and downloaded images were admissible under KRE 404. </w:t>
      </w:r>
      <w:r>
        <w:rPr>
          <w:i/>
        </w:rPr>
        <w:t>Id.</w:t>
      </w:r>
      <w:r>
        <w:t xml:space="preserve"> In </w:t>
      </w:r>
      <w:r>
        <w:rPr>
          <w:i/>
        </w:rPr>
        <w:t>South</w:t>
      </w:r>
      <w:r>
        <w:t xml:space="preserve">, the Defendant was convicted of first-degree rape of T.C. and first-degree rape, second-degree rape, first-degree sodomy, second-degree sodomy, and three counts of first-degree sexual abuse of B.B. During trial, the Commonwealth presented testimony from Officer Prindle, from the Boone County Sheriff’s Department, electronic crimes division. Officer Prindle testified that the hard drive of the Defendant’s computer contained references to pornographic websites and references indicative of child pornography. These items included data containing reference to having sex with family members, as well as evidence of a Google search for “preteen incest porn.”  </w:t>
      </w:r>
      <w:r>
        <w:rPr>
          <w:i/>
        </w:rPr>
        <w:t xml:space="preserve">Id. </w:t>
      </w:r>
      <w:r>
        <w:t xml:space="preserve">The Court ruled that the information on the Defendant’s computer, “was highly relevant and probative to demonstrate a scheme or plan to molest his stepdaughter, and outweighed any prejudice incurred by the Defendant.” </w:t>
      </w:r>
      <w:r>
        <w:rPr>
          <w:i/>
        </w:rPr>
        <w:t>Id.</w:t>
      </w:r>
      <w:r>
        <w:t xml:space="preserve">  The Court determined that testimony about the child pornography was relevant to prove the Defendant’s intent. </w:t>
      </w:r>
      <w:r>
        <w:rPr>
          <w:i/>
        </w:rPr>
        <w:t>Id</w:t>
      </w:r>
      <w:r>
        <w:t>.</w:t>
      </w:r>
    </w:p>
    <w:p w:rsidR="00BB5DAE" w:rsidRDefault="00FD4EE8" w:rsidP="00BB5DAE">
      <w:pPr>
        <w:pStyle w:val="BodyText"/>
      </w:pPr>
      <w:r>
        <w:tab/>
        <w:t xml:space="preserve">In this case, as in </w:t>
      </w:r>
      <w:r w:rsidR="00BB5DAE">
        <w:rPr>
          <w:i/>
        </w:rPr>
        <w:t>Williams</w:t>
      </w:r>
      <w:r w:rsidR="00BB5DAE">
        <w:t xml:space="preserve"> and </w:t>
      </w:r>
      <w:r w:rsidR="00BB5DAE">
        <w:rPr>
          <w:i/>
        </w:rPr>
        <w:t>South</w:t>
      </w:r>
      <w:r w:rsidR="00BB5DAE">
        <w:t>, evidence of the</w:t>
      </w:r>
      <w:r w:rsidR="00717F13">
        <w:t xml:space="preserve"> internet searches and web history regarding child pornography </w:t>
      </w:r>
      <w:r w:rsidR="00BB5DAE">
        <w:t xml:space="preserve">located on the Defendant’s </w:t>
      </w:r>
      <w:r w:rsidR="00717F13">
        <w:t>cell phone</w:t>
      </w:r>
      <w:r w:rsidR="00BB5DAE">
        <w:t xml:space="preserve"> is relevant and admissible, under KRE 404(b)(1), to show the Defendant’s intent, </w:t>
      </w:r>
      <w:r w:rsidR="003D36D7">
        <w:t xml:space="preserve">plan, </w:t>
      </w:r>
      <w:r w:rsidR="00BB5DAE">
        <w:t>knowledge, and</w:t>
      </w:r>
      <w:r w:rsidR="003D36D7">
        <w:t>/or</w:t>
      </w:r>
      <w:r w:rsidR="00BB5DAE">
        <w:t xml:space="preserve"> absence of mistake or accident in this case. </w:t>
      </w:r>
    </w:p>
    <w:p w:rsidR="003D36D7" w:rsidRDefault="003D36D7" w:rsidP="00BB5DAE">
      <w:pPr>
        <w:pStyle w:val="BodyText"/>
      </w:pPr>
      <w:r>
        <w:tab/>
        <w:t xml:space="preserve">Further, this evidence is relevant and admissible under KRS 404(b)(2) because the Defendant’s internet searches and web history is inextricably intertwined with the websites that he viewed that separation could not be accomplished without serious adverse effect. </w:t>
      </w:r>
    </w:p>
    <w:p w:rsidR="00E3074F" w:rsidRDefault="00E3074F" w:rsidP="00E3074F">
      <w:pPr>
        <w:pStyle w:val="BodyText"/>
      </w:pPr>
      <w:r>
        <w:tab/>
      </w:r>
    </w:p>
    <w:p w:rsidR="00E3074F" w:rsidRDefault="00E3074F" w:rsidP="00E3074F">
      <w:pPr>
        <w:pStyle w:val="BodyText"/>
      </w:pPr>
    </w:p>
    <w:p w:rsidR="00E3074F" w:rsidRDefault="00E3074F" w:rsidP="00E3074F">
      <w:r>
        <w:tab/>
      </w:r>
      <w:r>
        <w:tab/>
      </w:r>
      <w:r>
        <w:tab/>
      </w:r>
      <w:r>
        <w:tab/>
      </w:r>
      <w:r>
        <w:tab/>
      </w:r>
      <w:r>
        <w:tab/>
        <w:t>Respectfully submitted,</w:t>
      </w:r>
    </w:p>
    <w:p w:rsidR="00E3074F" w:rsidRDefault="00E3074F" w:rsidP="00E3074F"/>
    <w:p w:rsidR="00E3074F" w:rsidRDefault="00E3074F" w:rsidP="00E3074F"/>
    <w:p w:rsidR="00E3074F" w:rsidRDefault="00E3074F" w:rsidP="00E3074F">
      <w:r>
        <w:tab/>
      </w:r>
      <w:r>
        <w:tab/>
      </w:r>
      <w:r>
        <w:tab/>
      </w:r>
      <w:r>
        <w:tab/>
      </w:r>
      <w:r>
        <w:tab/>
      </w:r>
      <w:r>
        <w:tab/>
        <w:t>____________________________</w:t>
      </w:r>
    </w:p>
    <w:p w:rsidR="00E3074F" w:rsidRDefault="004252FC" w:rsidP="00E3074F">
      <w:r>
        <w:tab/>
      </w:r>
      <w:r>
        <w:tab/>
      </w:r>
      <w:r>
        <w:tab/>
      </w:r>
      <w:r>
        <w:tab/>
      </w:r>
      <w:r>
        <w:tab/>
      </w:r>
      <w:r>
        <w:tab/>
        <w:t>PROSECUTOR</w:t>
      </w:r>
    </w:p>
    <w:p w:rsidR="00E3074F" w:rsidRDefault="00E3074F" w:rsidP="00E3074F">
      <w:r>
        <w:tab/>
      </w:r>
      <w:r>
        <w:tab/>
      </w:r>
      <w:r>
        <w:tab/>
      </w:r>
      <w:r>
        <w:tab/>
      </w:r>
      <w:r>
        <w:tab/>
      </w:r>
      <w:r>
        <w:tab/>
        <w:t>Assistant Commonwealth Attorney</w:t>
      </w:r>
    </w:p>
    <w:p w:rsidR="00E3074F" w:rsidRDefault="00E3074F" w:rsidP="00E3074F">
      <w:r>
        <w:tab/>
      </w:r>
      <w:r>
        <w:tab/>
      </w:r>
      <w:r>
        <w:tab/>
      </w:r>
      <w:r>
        <w:tab/>
      </w:r>
      <w:r>
        <w:tab/>
      </w:r>
      <w:r>
        <w:tab/>
      </w:r>
      <w:r w:rsidR="004252FC">
        <w:t>ADDRESS</w:t>
      </w:r>
    </w:p>
    <w:p w:rsidR="00E3074F" w:rsidRDefault="00E3074F" w:rsidP="00E3074F"/>
    <w:p w:rsidR="00E96167" w:rsidRDefault="00E96167" w:rsidP="00E3074F">
      <w:pPr>
        <w:pStyle w:val="Heading1"/>
        <w:rPr>
          <w:u w:val="single"/>
        </w:rPr>
      </w:pPr>
    </w:p>
    <w:p w:rsidR="00E96167" w:rsidRDefault="00E96167" w:rsidP="00E3074F">
      <w:pPr>
        <w:pStyle w:val="Heading1"/>
        <w:rPr>
          <w:u w:val="single"/>
        </w:rPr>
      </w:pPr>
    </w:p>
    <w:p w:rsidR="00E3074F" w:rsidRDefault="00E3074F" w:rsidP="00E3074F">
      <w:pPr>
        <w:pStyle w:val="Heading1"/>
        <w:rPr>
          <w:u w:val="single"/>
        </w:rPr>
      </w:pPr>
      <w:r w:rsidRPr="00205617">
        <w:rPr>
          <w:u w:val="single"/>
        </w:rPr>
        <w:t>CERTIFICATION</w:t>
      </w:r>
    </w:p>
    <w:p w:rsidR="00E3074F" w:rsidRPr="00A93485" w:rsidRDefault="00E3074F" w:rsidP="00E3074F"/>
    <w:p w:rsidR="005316CA" w:rsidRPr="004977B2" w:rsidRDefault="00E3074F" w:rsidP="005316CA">
      <w:pPr>
        <w:numPr>
          <w:ilvl w:val="12"/>
          <w:numId w:val="0"/>
        </w:numPr>
        <w:jc w:val="both"/>
      </w:pPr>
      <w:r>
        <w:tab/>
      </w:r>
      <w:r w:rsidR="005316CA" w:rsidRPr="004977B2">
        <w:t xml:space="preserve">I hereby certify that a true and accurate copy of the foregoing was properly served by </w:t>
      </w:r>
      <w:r w:rsidR="00BF3145">
        <w:t>e-mail</w:t>
      </w:r>
      <w:r w:rsidR="005316CA" w:rsidRPr="004977B2">
        <w:t xml:space="preserve"> to</w:t>
      </w:r>
      <w:r w:rsidR="005316CA">
        <w:t xml:space="preserve"> </w:t>
      </w:r>
      <w:r w:rsidR="004252FC">
        <w:t>DEFENSE COUNSEL AND ADDRESS</w:t>
      </w:r>
      <w:r w:rsidR="005316CA">
        <w:t>, on this 14</w:t>
      </w:r>
      <w:r w:rsidR="005316CA" w:rsidRPr="005316CA">
        <w:rPr>
          <w:vertAlign w:val="superscript"/>
        </w:rPr>
        <w:t>th</w:t>
      </w:r>
      <w:r w:rsidR="005316CA">
        <w:t xml:space="preserve"> day of August, 2019.</w:t>
      </w:r>
      <w:r w:rsidR="005316CA" w:rsidRPr="004977B2">
        <w:t xml:space="preserve"> </w:t>
      </w:r>
    </w:p>
    <w:p w:rsidR="00E3074F" w:rsidRDefault="00E3074F" w:rsidP="00E3074F">
      <w:pPr>
        <w:jc w:val="both"/>
      </w:pPr>
    </w:p>
    <w:p w:rsidR="00E3074F" w:rsidRDefault="00E3074F" w:rsidP="00E3074F"/>
    <w:p w:rsidR="00E3074F" w:rsidRDefault="00E3074F" w:rsidP="00E3074F">
      <w:r>
        <w:tab/>
      </w:r>
      <w:r>
        <w:tab/>
      </w:r>
      <w:r>
        <w:tab/>
      </w:r>
      <w:r>
        <w:tab/>
      </w:r>
      <w:r>
        <w:tab/>
      </w:r>
      <w:r>
        <w:tab/>
        <w:t>__________________________</w:t>
      </w:r>
    </w:p>
    <w:p w:rsidR="00E3074F" w:rsidRDefault="004252FC" w:rsidP="00E3074F">
      <w:r>
        <w:tab/>
      </w:r>
      <w:r>
        <w:tab/>
      </w:r>
      <w:r>
        <w:tab/>
      </w:r>
      <w:r>
        <w:tab/>
      </w:r>
      <w:r>
        <w:tab/>
      </w:r>
      <w:r>
        <w:tab/>
        <w:t>PROSECUTOR</w:t>
      </w:r>
      <w:bookmarkStart w:id="1" w:name="_GoBack"/>
      <w:bookmarkEnd w:id="1"/>
    </w:p>
    <w:p w:rsidR="00E3074F" w:rsidRDefault="00E3074F" w:rsidP="00E3074F"/>
    <w:p w:rsidR="00E3074F" w:rsidRDefault="00E3074F" w:rsidP="00E3074F"/>
    <w:bookmarkEnd w:id="0"/>
    <w:p w:rsidR="004B6928" w:rsidRDefault="004B6928"/>
    <w:sectPr w:rsidR="004B6928" w:rsidSect="00956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4F"/>
    <w:rsid w:val="00002F27"/>
    <w:rsid w:val="00003A08"/>
    <w:rsid w:val="0003084B"/>
    <w:rsid w:val="000F2F82"/>
    <w:rsid w:val="00153320"/>
    <w:rsid w:val="001751A8"/>
    <w:rsid w:val="00223979"/>
    <w:rsid w:val="002B7406"/>
    <w:rsid w:val="002E167E"/>
    <w:rsid w:val="00341D8A"/>
    <w:rsid w:val="003D36D7"/>
    <w:rsid w:val="003D71ED"/>
    <w:rsid w:val="003F44E7"/>
    <w:rsid w:val="003F528B"/>
    <w:rsid w:val="00413F7C"/>
    <w:rsid w:val="004252FC"/>
    <w:rsid w:val="00496080"/>
    <w:rsid w:val="004B6928"/>
    <w:rsid w:val="005316CA"/>
    <w:rsid w:val="0053428D"/>
    <w:rsid w:val="005C0E54"/>
    <w:rsid w:val="00680170"/>
    <w:rsid w:val="00717F13"/>
    <w:rsid w:val="00732A24"/>
    <w:rsid w:val="007373BF"/>
    <w:rsid w:val="00754561"/>
    <w:rsid w:val="007C55C8"/>
    <w:rsid w:val="007D7A07"/>
    <w:rsid w:val="00895704"/>
    <w:rsid w:val="00B01A7A"/>
    <w:rsid w:val="00BB5DAE"/>
    <w:rsid w:val="00BF3145"/>
    <w:rsid w:val="00DF4767"/>
    <w:rsid w:val="00E11BB6"/>
    <w:rsid w:val="00E3074F"/>
    <w:rsid w:val="00E76124"/>
    <w:rsid w:val="00E96167"/>
    <w:rsid w:val="00F060C7"/>
    <w:rsid w:val="00F53324"/>
    <w:rsid w:val="00FD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ED39695"/>
  <w15:chartTrackingRefBased/>
  <w15:docId w15:val="{044B4E39-33FD-4554-9CF0-62CD9BE6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7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3074F"/>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074F"/>
    <w:rPr>
      <w:rFonts w:ascii="Times New Roman" w:eastAsia="Times New Roman" w:hAnsi="Times New Roman" w:cs="Times New Roman"/>
      <w:b/>
      <w:bCs/>
      <w:sz w:val="24"/>
      <w:szCs w:val="24"/>
    </w:rPr>
  </w:style>
  <w:style w:type="paragraph" w:styleId="Title">
    <w:name w:val="Title"/>
    <w:basedOn w:val="Normal"/>
    <w:link w:val="TitleChar"/>
    <w:qFormat/>
    <w:rsid w:val="00E3074F"/>
    <w:pPr>
      <w:jc w:val="center"/>
    </w:pPr>
    <w:rPr>
      <w:b/>
      <w:bCs/>
    </w:rPr>
  </w:style>
  <w:style w:type="character" w:customStyle="1" w:styleId="TitleChar">
    <w:name w:val="Title Char"/>
    <w:basedOn w:val="DefaultParagraphFont"/>
    <w:link w:val="Title"/>
    <w:rsid w:val="00E3074F"/>
    <w:rPr>
      <w:rFonts w:ascii="Times New Roman" w:eastAsia="Times New Roman" w:hAnsi="Times New Roman" w:cs="Times New Roman"/>
      <w:b/>
      <w:bCs/>
      <w:sz w:val="24"/>
      <w:szCs w:val="24"/>
    </w:rPr>
  </w:style>
  <w:style w:type="paragraph" w:styleId="BodyText">
    <w:name w:val="Body Text"/>
    <w:basedOn w:val="Normal"/>
    <w:link w:val="BodyTextChar"/>
    <w:rsid w:val="00E3074F"/>
    <w:pPr>
      <w:spacing w:line="480" w:lineRule="auto"/>
      <w:jc w:val="both"/>
    </w:pPr>
  </w:style>
  <w:style w:type="character" w:customStyle="1" w:styleId="BodyTextChar">
    <w:name w:val="Body Text Char"/>
    <w:basedOn w:val="DefaultParagraphFont"/>
    <w:link w:val="BodyText"/>
    <w:rsid w:val="00E3074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074F"/>
    <w:rPr>
      <w:color w:val="0563C1" w:themeColor="hyperlink"/>
      <w:u w:val="single"/>
    </w:rPr>
  </w:style>
  <w:style w:type="character" w:customStyle="1" w:styleId="UnresolvedMention">
    <w:name w:val="Unresolved Mention"/>
    <w:basedOn w:val="DefaultParagraphFont"/>
    <w:uiPriority w:val="99"/>
    <w:semiHidden/>
    <w:unhideWhenUsed/>
    <w:rsid w:val="00BB5D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408B6C3AA2344896DF7310DB6B826" ma:contentTypeVersion="4" ma:contentTypeDescription="Create a new document." ma:contentTypeScope="" ma:versionID="718c8e29111fd8f8cce07f68f3c8a310">
  <xsd:schema xmlns:xsd="http://www.w3.org/2001/XMLSchema" xmlns:xs="http://www.w3.org/2001/XMLSchema" xmlns:p="http://schemas.microsoft.com/office/2006/metadata/properties" xmlns:ns2="3ced8b83-7091-4523-a781-4db878c365c4" xmlns:ns3="24f85fa8-4765-4e0f-aae4-4746d10390bf" targetNamespace="http://schemas.microsoft.com/office/2006/metadata/properties" ma:root="true" ma:fieldsID="a56ba6e82956b7b3d1f47f1a618ef8e3" ns2:_="" ns3:_="">
    <xsd:import namespace="3ced8b83-7091-4523-a781-4db878c365c4"/>
    <xsd:import namespace="24f85fa8-4765-4e0f-aae4-4746d10390bf"/>
    <xsd:element name="properties">
      <xsd:complexType>
        <xsd:sequence>
          <xsd:element name="documentManagement">
            <xsd:complexType>
              <xsd:all>
                <xsd:element ref="ns2:Year_x0020_New" minOccurs="0"/>
                <xsd:element ref="ns3: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d8b83-7091-4523-a781-4db878c365c4" elementFormDefault="qualified">
    <xsd:import namespace="http://schemas.microsoft.com/office/2006/documentManagement/types"/>
    <xsd:import namespace="http://schemas.microsoft.com/office/infopath/2007/PartnerControls"/>
    <xsd:element name="Year_x0020_New" ma:index="8" nillable="true" ma:displayName="Year New" ma:list="{431acfbd-683c-4cfb-8eed-ec00b33dbdf7}" ma:internalName="Year_x0020_New" ma:showField="Title" ma:web="3ced8b83-7091-4523-a781-4db878c365c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4f85fa8-4765-4e0f-aae4-4746d10390bf" elementFormDefault="qualified">
    <xsd:import namespace="http://schemas.microsoft.com/office/2006/documentManagement/types"/>
    <xsd:import namespace="http://schemas.microsoft.com/office/infopath/2007/PartnerControls"/>
    <xsd:element name="Section" ma:index="9" nillable="true" ma:displayName="Section" ma:format="Dropdown" ma:internalName="Section">
      <xsd:simpleType>
        <xsd:restriction base="dms:Choice">
          <xsd:enumeration value="01 - Adult Sex Offender Typologies"/>
          <xsd:enumeration value="02 - Adverse Childhood Experiences Study"/>
          <xsd:enumeration value="03 - Advocacy in DNA Court"/>
          <xsd:enumeration value="04 - Certification of Records Form"/>
          <xsd:enumeration value="05 - Checklist for Adjudication of Child Abuse Cases and Judicial Commandments"/>
          <xsd:enumeration value="06 - Child Abuse and Neglect Fatalities 2017 Statistics and Interventions"/>
          <xsd:enumeration value="07 - Child Forensic Interviewing Best Practices"/>
          <xsd:enumeration value="08 - Forensic Interviewing_A Primer for Child Welfare Professionals"/>
          <xsd:enumeration value="09 - Handbook of Interpersonal Violence Across the Lifespan"/>
          <xsd:enumeration value="10 - Kentucky Sex Crimes and Offenses"/>
          <xsd:enumeration value="11 - Medical Aspects of Child Abuse for the MDT"/>
          <xsd:enumeration value="12 - Medical Release Forms"/>
          <xsd:enumeration value="13 - Model Response to Sexual Violence for Prosecutors (RSVP Model)"/>
          <xsd:enumeration value="14 - National Human Trafficking Prosecution Best Practices Guide"/>
          <xsd:enumeration value="15 - Sample Opening Statements"/>
          <xsd:enumeration value="16 - Portable Guides to Investigating Child Abuse"/>
          <xsd:enumeration value="17 - Preparation, Persuasion and Self, Defending Fellow Human Beings"/>
          <xsd:enumeration value="18 - Prosecution Resource Documents"/>
          <xsd:enumeration value="19 - Recognizing When a Child’s Injury or Illness is Caused by Abuse"/>
          <xsd:enumeration value="20 - Sexual Violence Law in Kentucky, A Handbook"/>
          <xsd:enumeration value="21 - Social Media Law Enforcement Guides"/>
          <xsd:enumeration value="22 - Ten Tips for Developing Your Case Theme"/>
          <xsd:enumeration value="23 - Evaluation of Children in the Primary Care Setting"/>
          <xsd:enumeration value="24 - The Prosecution of Child Sexual Abuse_A Partnership to Improve Outcomes"/>
          <xsd:enumeration value="25 - The Trial Notebook"/>
          <xsd:enumeration value="26 - Working with the Courts in Child Protection, U.S. Department of Health and Human Services, Administration for Children"/>
          <xsd:enumeration value="27 - Voir Dire Examples"/>
          <xsd:enumeration value="28 - Warrant"/>
          <xsd:enumeration value="29 - Your Guide to Kentucky’s Children’s Advocacy Centers"/>
          <xsd:enumeration value="30 - 2019 Kentucky Rules of Evidence, Summary Trial Guid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4f85fa8-4765-4e0f-aae4-4746d10390bf">18 - Prosecution Resource Documents</Section>
    <Year_x0020_New xmlns="3ced8b83-7091-4523-a781-4db878c365c4" xsi:nil="true"/>
  </documentManagement>
</p:properties>
</file>

<file path=customXml/itemProps1.xml><?xml version="1.0" encoding="utf-8"?>
<ds:datastoreItem xmlns:ds="http://schemas.openxmlformats.org/officeDocument/2006/customXml" ds:itemID="{06B1598C-E3AA-44B3-8AA1-913BA6452DEB}"/>
</file>

<file path=customXml/itemProps2.xml><?xml version="1.0" encoding="utf-8"?>
<ds:datastoreItem xmlns:ds="http://schemas.openxmlformats.org/officeDocument/2006/customXml" ds:itemID="{85EC3B94-C26C-4302-A54E-E204A8C2FC42}"/>
</file>

<file path=customXml/itemProps3.xml><?xml version="1.0" encoding="utf-8"?>
<ds:datastoreItem xmlns:ds="http://schemas.openxmlformats.org/officeDocument/2006/customXml" ds:itemID="{AEB91043-C5F9-4189-AA27-213A7C4409FC}"/>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404 - 404(b) Phone Download</dc:title>
  <dc:subject/>
  <dc:creator>Emily J. Arnzen</dc:creator>
  <cp:keywords/>
  <dc:description/>
  <cp:lastModifiedBy>Burke, Amy (KYOAG)</cp:lastModifiedBy>
  <cp:revision>2</cp:revision>
  <cp:lastPrinted>2019-08-14T19:24:00Z</cp:lastPrinted>
  <dcterms:created xsi:type="dcterms:W3CDTF">2020-07-25T18:16:00Z</dcterms:created>
  <dcterms:modified xsi:type="dcterms:W3CDTF">2020-07-25T18:16:00Z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0x010100033408B6C3AA2344896DF7310DB6B826</vt:lpwstr>
  </property>
  <property fmtid="{D5CDD505-2E9C-101B-9397-08002B2CF9AE}" pid="3" name="Order">
    <vt:r8>6200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Section">
    <vt:lpwstr>19</vt:lpwstr>
  </property>
  <property fmtid="{D5CDD505-2E9C-101B-9397-08002B2CF9AE}" pid="10" name="Order0">
    <vt:r8>1</vt:r8>
  </property>
</Properties>
</file>